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5"/>
      </w:pPr>
      <w:r>
        <w:rPr>
          <w:b/>
          <w:color w:val="1C1917"/>
          <w:sz w:val="32"/>
        </w:rPr>
        <w:t>Grenze im Blick</w:t>
      </w:r>
    </w:p>
    <w:p>
      <w:pPr>
        <w:spacing w:before="0" w:after="113"/>
      </w:pPr>
      <w:r>
        <w:rPr>
          <w:b w:val="0"/>
          <w:color w:val="78716C"/>
          <w:sz w:val="22"/>
        </w:rPr>
        <w:t xml:space="preserve">Rechenblatt Kleinunternehmer-Grenze · Jahr </w:t>
      </w:r>
      <w:r>
        <w:rPr>
          <w:b w:val="0"/>
          <w:color w:val="78716C"/>
          <w:sz w:val="22"/>
          <w:highlight w:val="lightGray"/>
        </w:rPr>
        <w:t>[Jahr]</w:t>
      </w:r>
    </w:p>
    <w:p>
      <w:pPr>
        <w:spacing w:before="0" w:after="57"/>
      </w:pPr>
      <w:r>
        <w:rPr>
          <w:b w:val="0"/>
          <w:color w:val="78716C"/>
          <w:sz w:val="18"/>
        </w:rPr>
        <w:t>Unverbindliche Vorlage, Stand 26.10.2026. Ohne Gewähr für Vollständigkeit, Richtigkeit und Aktualität. Ersetzt keine Rechts- oder Steuerberatung – prüfe sie vor der Verwendung für deinen Fall.</w:t>
      </w:r>
    </w:p>
    <w:p>
      <w:pPr>
        <w:spacing w:before="57" w:after="113"/>
      </w:pPr>
      <w:r>
        <w:rPr>
          <w:b w:val="0"/>
          <w:color w:val="78716C"/>
          <w:sz w:val="18"/>
        </w:rPr>
        <w:t xml:space="preserve">Studio: </w:t>
      </w:r>
      <w:r>
        <w:rPr>
          <w:b w:val="0"/>
          <w:color w:val="1C1917"/>
          <w:sz w:val="18"/>
          <w:highlight w:val="lightGray"/>
        </w:rPr>
        <w:t>[Name]</w:t>
      </w:r>
      <w:r>
        <w:rPr>
          <w:b w:val="0"/>
          <w:color w:val="78716C"/>
          <w:sz w:val="18"/>
        </w:rPr>
        <w:t xml:space="preserve">   ·   Umsatz im Vorjahr: </w:t>
      </w:r>
      <w:r>
        <w:rPr>
          <w:b w:val="0"/>
          <w:color w:val="1C1917"/>
          <w:sz w:val="18"/>
          <w:highlight w:val="lightGray"/>
        </w:rPr>
        <w:t>[Betrag]</w:t>
      </w:r>
      <w:r>
        <w:rPr>
          <w:b w:val="0"/>
          <w:color w:val="78716C"/>
          <w:sz w:val="18"/>
        </w:rPr>
        <w:t xml:space="preserve">   ·   </w:t>
      </w:r>
      <w:r>
        <w:rPr>
          <w:rFonts w:ascii="Segoe UI Symbol" w:hAnsi="Segoe UI Symbol" w:eastAsia="Segoe UI Symbol" w:cs="Segoe UI Symbol"/>
          <w:b w:val="0"/>
          <w:color w:val="1C1917"/>
          <w:sz w:val="20"/>
        </w:rPr>
        <w:t>☐</w:t>
      </w:r>
      <w:r>
        <w:rPr>
          <w:b w:val="0"/>
          <w:color w:val="78716C"/>
          <w:sz w:val="18"/>
        </w:rPr>
        <w:t xml:space="preserve"> Gründungsjahr (Tätigkeit in diesem Jahr begonnen am </w:t>
      </w:r>
      <w:r>
        <w:rPr>
          <w:b w:val="0"/>
          <w:color w:val="1C1917"/>
          <w:sz w:val="18"/>
          <w:highlight w:val="lightGray"/>
        </w:rPr>
        <w:t>[Datum]</w:t>
      </w:r>
      <w:r>
        <w:rPr>
          <w:b w:val="0"/>
          <w:color w:val="78716C"/>
          <w:sz w:val="18"/>
        </w:rPr>
        <w:t>)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D6D3D1"/>
          <w:left w:val="single" w:sz="4" w:color="D6D3D1"/>
          <w:bottom w:val="single" w:sz="4" w:color="D6D3D1"/>
          <w:right w:val="single" w:sz="4" w:color="D6D3D1"/>
          <w:insideH w:val="nil"/>
          <w:insideV w:val="nil"/>
        </w:tblBorders>
        <w:tblCellMar>
          <w:top w:w="51" w:type="dxa"/>
          <w:bottom w:w="51" w:type="dxa"/>
          <w:left w:w="56" w:type="dxa"/>
          <w:right w:w="56" w:type="dxa"/>
        </w:tblCellMar>
      </w:tblPr>
      <w:tblGrid>
        <w:gridCol w:w="9638"/>
      </w:tblGrid>
      <w:tr>
        <w:trPr>
          <w:cantSplit/>
        </w:trPr>
        <w:tc>
          <w:tcPr>
            <w:tcW w:type="dxa" w:w="9638"/>
          </w:tcPr>
          <w:p>
            <w:r>
              <w:rPr>
                <w:b/>
                <w:color w:val="1C1917"/>
                <w:sz w:val="18"/>
              </w:rPr>
              <w:t>Die Grenzen</w:t>
            </w:r>
          </w:p>
          <w:p>
            <w:pPr>
              <w:spacing w:before="34"/>
            </w:pPr>
            <w:r>
              <w:rPr>
                <w:b w:val="0"/>
                <w:color w:val="1C1917"/>
                <w:sz w:val="18"/>
              </w:rPr>
              <w:t>1. Vorjahr höchstens 25 000 € und dieses Jahr höchstens 100 000 €: Umsätze steuerfrei. Über 100 000 € ist schon der Umsatz steuerpflichtig, mit dem du die Grenze überschreitest.</w:t>
            </w:r>
          </w:p>
          <w:p>
            <w:pPr>
              <w:spacing w:before="34"/>
            </w:pPr>
            <w:r>
              <w:rPr>
                <w:b w:val="0"/>
                <w:color w:val="1C1917"/>
                <w:sz w:val="18"/>
              </w:rPr>
              <w:t>2. Dieses Jahr über 25 000 € (Vorjahr höchstens 25 000 €, dieses Jahr höchstens 100 000 €): dieses Jahr bleibt steuerfrei, ab 1. Januar des nächsten Jahres nicht mehr.</w:t>
            </w:r>
          </w:p>
          <w:p>
            <w:pPr>
              <w:spacing w:before="34"/>
            </w:pPr>
            <w:r>
              <w:rPr>
                <w:b w:val="0"/>
                <w:color w:val="1C1917"/>
                <w:sz w:val="18"/>
              </w:rPr>
              <w:t>3. Im Gründungsjahr gilt nach Auffassung der Finanzverwaltung nur die Grenze von 25 000 € für das laufende Jahr, und schon der Umsatz darüber ist steuerpflichtig.</w:t>
            </w:r>
          </w:p>
        </w:tc>
      </w:tr>
    </w:tbl>
    <w:p>
      <w:pPr>
        <w:spacing w:before="45" w:after="170"/>
      </w:pPr>
      <w:r>
        <w:rPr>
          <w:b w:val="0"/>
          <w:color w:val="78716C"/>
          <w:sz w:val="16"/>
        </w:rPr>
        <w:t>Quelle: § 19 Abs. 1 und 2 UStG (Fassung seit 1. Januar 2025); Umsatzsteuer-Anwendungserlass Abschn. 19.1 Abs. 2 und 3, 19.2 Abs. 1, 19.7 Abs. 1, Stand 2. Juni 2026. Gilt für Deutschland.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single" w:sz="4" w:color="D6D3D1"/>
          <w:right w:val="nil"/>
          <w:insideH w:val="single" w:sz="4" w:color="D6D3D1"/>
          <w:insideV w:val="nil"/>
        </w:tblBorders>
        <w:tblCellMar>
          <w:top w:w="51" w:type="dxa"/>
          <w:bottom w:w="51" w:type="dxa"/>
          <w:left w:w="56" w:type="dxa"/>
          <w:right w:w="56" w:type="dxa"/>
        </w:tblCellMar>
      </w:tblPr>
      <w:tblGrid>
        <w:gridCol w:w="1134"/>
        <w:gridCol w:w="1531"/>
        <w:gridCol w:w="1871"/>
        <w:gridCol w:w="1531"/>
        <w:gridCol w:w="1531"/>
        <w:gridCol w:w="2041"/>
      </w:tblGrid>
      <w:tr>
        <w:trPr>
          <w:cantSplit/>
          <w:tblHeader/>
        </w:trPr>
        <w:tc>
          <w:tcPr>
            <w:tcW w:type="dxa" w:w="1134"/>
          </w:tcPr>
          <w:p>
            <w:r>
              <w:rPr>
                <w:b/>
                <w:color w:val="78716C"/>
                <w:sz w:val="16"/>
              </w:rPr>
              <w:t>Monat</w:t>
            </w:r>
          </w:p>
        </w:tc>
        <w:tc>
          <w:tcPr>
            <w:tcW w:type="dxa" w:w="1531"/>
          </w:tcPr>
          <w:p>
            <w:pPr>
              <w:jc w:val="right"/>
            </w:pPr>
            <w:r>
              <w:rPr>
                <w:b/>
                <w:color w:val="78716C"/>
                <w:sz w:val="16"/>
              </w:rPr>
              <w:t>eingegangene Entgelte</w:t>
            </w:r>
          </w:p>
        </w:tc>
        <w:tc>
          <w:tcPr>
            <w:tcW w:type="dxa" w:w="1871"/>
          </w:tcPr>
          <w:p>
            <w:pPr>
              <w:jc w:val="right"/>
            </w:pPr>
            <w:r>
              <w:rPr>
                <w:b/>
                <w:color w:val="78716C"/>
                <w:sz w:val="16"/>
              </w:rPr>
              <w:t>davon Anzahlungen für Leistungen im nächsten Jahr</w:t>
            </w:r>
          </w:p>
        </w:tc>
        <w:tc>
          <w:tcPr>
            <w:tcW w:type="dxa" w:w="1531"/>
          </w:tcPr>
          <w:p>
            <w:pPr>
              <w:jc w:val="right"/>
            </w:pPr>
            <w:r>
              <w:rPr>
                <w:b/>
                <w:color w:val="78716C"/>
                <w:sz w:val="16"/>
              </w:rPr>
              <w:t>Summe seit Januar</w:t>
            </w:r>
          </w:p>
        </w:tc>
        <w:tc>
          <w:tcPr>
            <w:tcW w:type="dxa" w:w="1531"/>
          </w:tcPr>
          <w:p>
            <w:pPr>
              <w:jc w:val="right"/>
            </w:pPr>
            <w:r>
              <w:rPr>
                <w:b/>
                <w:color w:val="78716C"/>
                <w:sz w:val="16"/>
              </w:rPr>
              <w:t>Abstand zu 25 000 €</w:t>
            </w:r>
          </w:p>
        </w:tc>
        <w:tc>
          <w:tcPr>
            <w:tcW w:type="dxa" w:w="2041"/>
          </w:tcPr>
          <w:p>
            <w:r>
              <w:rPr>
                <w:b/>
                <w:color w:val="78716C"/>
                <w:sz w:val="16"/>
              </w:rPr>
              <w:t>Notiz</w:t>
            </w:r>
          </w:p>
        </w:tc>
      </w:tr>
      <w:tr>
        <w:trPr>
          <w:cantSplit/>
          <w:trHeight w:val="397" w:hRule="atLeast"/>
        </w:trPr>
        <w:tc>
          <w:tcPr>
            <w:tcW w:type="dxa" w:w="1134"/>
          </w:tcPr>
          <w:p>
            <w:r>
              <w:rPr>
                <w:b w:val="0"/>
                <w:color w:val="1C1917"/>
                <w:sz w:val="17"/>
              </w:rPr>
              <w:t>Januar</w:t>
            </w:r>
          </w:p>
        </w:tc>
        <w:tc>
          <w:tcPr>
            <w:tcW w:type="dxa" w:w="1531"/>
          </w:tcPr>
          <w:p>
            <w:pPr>
              <w:jc w:val="right"/>
            </w:pPr>
          </w:p>
        </w:tc>
        <w:tc>
          <w:tcPr>
            <w:tcW w:type="dxa" w:w="1871"/>
          </w:tcPr>
          <w:p>
            <w:pPr>
              <w:jc w:val="right"/>
            </w:pPr>
          </w:p>
        </w:tc>
        <w:tc>
          <w:tcPr>
            <w:tcW w:type="dxa" w:w="1531"/>
          </w:tcPr>
          <w:p>
            <w:pPr>
              <w:jc w:val="right"/>
            </w:pPr>
          </w:p>
        </w:tc>
        <w:tc>
          <w:tcPr>
            <w:tcW w:type="dxa" w:w="1531"/>
          </w:tcPr>
          <w:p>
            <w:pPr>
              <w:jc w:val="right"/>
            </w:pPr>
          </w:p>
        </w:tc>
        <w:tc>
          <w:tcPr>
            <w:tcW w:type="dxa" w:w="2041"/>
          </w:tcPr>
          <w:p/>
        </w:tc>
      </w:tr>
      <w:tr>
        <w:trPr>
          <w:cantSplit/>
          <w:trHeight w:val="397" w:hRule="atLeast"/>
        </w:trPr>
        <w:tc>
          <w:tcPr>
            <w:tcW w:type="dxa" w:w="1134"/>
          </w:tcPr>
          <w:p>
            <w:r>
              <w:rPr>
                <w:b w:val="0"/>
                <w:color w:val="1C1917"/>
                <w:sz w:val="17"/>
              </w:rPr>
              <w:t>Februar</w:t>
            </w:r>
          </w:p>
        </w:tc>
        <w:tc>
          <w:tcPr>
            <w:tcW w:type="dxa" w:w="1531"/>
          </w:tcPr>
          <w:p>
            <w:pPr>
              <w:jc w:val="right"/>
            </w:pPr>
          </w:p>
        </w:tc>
        <w:tc>
          <w:tcPr>
            <w:tcW w:type="dxa" w:w="1871"/>
          </w:tcPr>
          <w:p>
            <w:pPr>
              <w:jc w:val="right"/>
            </w:pPr>
          </w:p>
        </w:tc>
        <w:tc>
          <w:tcPr>
            <w:tcW w:type="dxa" w:w="1531"/>
          </w:tcPr>
          <w:p>
            <w:pPr>
              <w:jc w:val="right"/>
            </w:pPr>
          </w:p>
        </w:tc>
        <w:tc>
          <w:tcPr>
            <w:tcW w:type="dxa" w:w="1531"/>
          </w:tcPr>
          <w:p>
            <w:pPr>
              <w:jc w:val="right"/>
            </w:pPr>
          </w:p>
        </w:tc>
        <w:tc>
          <w:tcPr>
            <w:tcW w:type="dxa" w:w="2041"/>
          </w:tcPr>
          <w:p/>
        </w:tc>
      </w:tr>
      <w:tr>
        <w:trPr>
          <w:cantSplit/>
          <w:trHeight w:val="397" w:hRule="atLeast"/>
        </w:trPr>
        <w:tc>
          <w:tcPr>
            <w:tcW w:type="dxa" w:w="1134"/>
          </w:tcPr>
          <w:p>
            <w:r>
              <w:rPr>
                <w:b w:val="0"/>
                <w:color w:val="1C1917"/>
                <w:sz w:val="17"/>
              </w:rPr>
              <w:t>März</w:t>
            </w:r>
          </w:p>
        </w:tc>
        <w:tc>
          <w:tcPr>
            <w:tcW w:type="dxa" w:w="1531"/>
          </w:tcPr>
          <w:p>
            <w:pPr>
              <w:jc w:val="right"/>
            </w:pPr>
          </w:p>
        </w:tc>
        <w:tc>
          <w:tcPr>
            <w:tcW w:type="dxa" w:w="1871"/>
          </w:tcPr>
          <w:p>
            <w:pPr>
              <w:jc w:val="right"/>
            </w:pPr>
          </w:p>
        </w:tc>
        <w:tc>
          <w:tcPr>
            <w:tcW w:type="dxa" w:w="1531"/>
          </w:tcPr>
          <w:p>
            <w:pPr>
              <w:jc w:val="right"/>
            </w:pPr>
          </w:p>
        </w:tc>
        <w:tc>
          <w:tcPr>
            <w:tcW w:type="dxa" w:w="1531"/>
          </w:tcPr>
          <w:p>
            <w:pPr>
              <w:jc w:val="right"/>
            </w:pPr>
          </w:p>
        </w:tc>
        <w:tc>
          <w:tcPr>
            <w:tcW w:type="dxa" w:w="2041"/>
          </w:tcPr>
          <w:p/>
        </w:tc>
      </w:tr>
      <w:tr>
        <w:trPr>
          <w:cantSplit/>
          <w:trHeight w:val="397" w:hRule="atLeast"/>
        </w:trPr>
        <w:tc>
          <w:tcPr>
            <w:tcW w:type="dxa" w:w="1134"/>
          </w:tcPr>
          <w:p>
            <w:r>
              <w:rPr>
                <w:b w:val="0"/>
                <w:color w:val="1C1917"/>
                <w:sz w:val="17"/>
              </w:rPr>
              <w:t>April</w:t>
            </w:r>
          </w:p>
        </w:tc>
        <w:tc>
          <w:tcPr>
            <w:tcW w:type="dxa" w:w="1531"/>
          </w:tcPr>
          <w:p>
            <w:pPr>
              <w:jc w:val="right"/>
            </w:pPr>
          </w:p>
        </w:tc>
        <w:tc>
          <w:tcPr>
            <w:tcW w:type="dxa" w:w="1871"/>
          </w:tcPr>
          <w:p>
            <w:pPr>
              <w:jc w:val="right"/>
            </w:pPr>
          </w:p>
        </w:tc>
        <w:tc>
          <w:tcPr>
            <w:tcW w:type="dxa" w:w="1531"/>
          </w:tcPr>
          <w:p>
            <w:pPr>
              <w:jc w:val="right"/>
            </w:pPr>
          </w:p>
        </w:tc>
        <w:tc>
          <w:tcPr>
            <w:tcW w:type="dxa" w:w="1531"/>
          </w:tcPr>
          <w:p>
            <w:pPr>
              <w:jc w:val="right"/>
            </w:pPr>
          </w:p>
        </w:tc>
        <w:tc>
          <w:tcPr>
            <w:tcW w:type="dxa" w:w="2041"/>
          </w:tcPr>
          <w:p/>
        </w:tc>
      </w:tr>
      <w:tr>
        <w:trPr>
          <w:cantSplit/>
          <w:trHeight w:val="397" w:hRule="atLeast"/>
        </w:trPr>
        <w:tc>
          <w:tcPr>
            <w:tcW w:type="dxa" w:w="1134"/>
          </w:tcPr>
          <w:p>
            <w:r>
              <w:rPr>
                <w:b w:val="0"/>
                <w:color w:val="1C1917"/>
                <w:sz w:val="17"/>
              </w:rPr>
              <w:t>Mai</w:t>
            </w:r>
          </w:p>
        </w:tc>
        <w:tc>
          <w:tcPr>
            <w:tcW w:type="dxa" w:w="1531"/>
          </w:tcPr>
          <w:p>
            <w:pPr>
              <w:jc w:val="right"/>
            </w:pPr>
          </w:p>
        </w:tc>
        <w:tc>
          <w:tcPr>
            <w:tcW w:type="dxa" w:w="1871"/>
          </w:tcPr>
          <w:p>
            <w:pPr>
              <w:jc w:val="right"/>
            </w:pPr>
          </w:p>
        </w:tc>
        <w:tc>
          <w:tcPr>
            <w:tcW w:type="dxa" w:w="1531"/>
          </w:tcPr>
          <w:p>
            <w:pPr>
              <w:jc w:val="right"/>
            </w:pPr>
          </w:p>
        </w:tc>
        <w:tc>
          <w:tcPr>
            <w:tcW w:type="dxa" w:w="1531"/>
          </w:tcPr>
          <w:p>
            <w:pPr>
              <w:jc w:val="right"/>
            </w:pPr>
          </w:p>
        </w:tc>
        <w:tc>
          <w:tcPr>
            <w:tcW w:type="dxa" w:w="2041"/>
          </w:tcPr>
          <w:p/>
        </w:tc>
      </w:tr>
      <w:tr>
        <w:trPr>
          <w:cantSplit/>
          <w:trHeight w:val="397" w:hRule="atLeast"/>
        </w:trPr>
        <w:tc>
          <w:tcPr>
            <w:tcW w:type="dxa" w:w="1134"/>
          </w:tcPr>
          <w:p>
            <w:r>
              <w:rPr>
                <w:b w:val="0"/>
                <w:color w:val="1C1917"/>
                <w:sz w:val="17"/>
              </w:rPr>
              <w:t>Juni</w:t>
            </w:r>
          </w:p>
        </w:tc>
        <w:tc>
          <w:tcPr>
            <w:tcW w:type="dxa" w:w="1531"/>
          </w:tcPr>
          <w:p>
            <w:pPr>
              <w:jc w:val="right"/>
            </w:pPr>
          </w:p>
        </w:tc>
        <w:tc>
          <w:tcPr>
            <w:tcW w:type="dxa" w:w="1871"/>
          </w:tcPr>
          <w:p>
            <w:pPr>
              <w:jc w:val="right"/>
            </w:pPr>
          </w:p>
        </w:tc>
        <w:tc>
          <w:tcPr>
            <w:tcW w:type="dxa" w:w="1531"/>
          </w:tcPr>
          <w:p>
            <w:pPr>
              <w:jc w:val="right"/>
            </w:pPr>
          </w:p>
        </w:tc>
        <w:tc>
          <w:tcPr>
            <w:tcW w:type="dxa" w:w="1531"/>
          </w:tcPr>
          <w:p>
            <w:pPr>
              <w:jc w:val="right"/>
            </w:pPr>
          </w:p>
        </w:tc>
        <w:tc>
          <w:tcPr>
            <w:tcW w:type="dxa" w:w="2041"/>
          </w:tcPr>
          <w:p/>
        </w:tc>
      </w:tr>
      <w:tr>
        <w:trPr>
          <w:cantSplit/>
          <w:trHeight w:val="397" w:hRule="atLeast"/>
        </w:trPr>
        <w:tc>
          <w:tcPr>
            <w:tcW w:type="dxa" w:w="1134"/>
          </w:tcPr>
          <w:p>
            <w:r>
              <w:rPr>
                <w:b w:val="0"/>
                <w:color w:val="1C1917"/>
                <w:sz w:val="17"/>
              </w:rPr>
              <w:t>Juli</w:t>
            </w:r>
          </w:p>
        </w:tc>
        <w:tc>
          <w:tcPr>
            <w:tcW w:type="dxa" w:w="1531"/>
          </w:tcPr>
          <w:p>
            <w:pPr>
              <w:jc w:val="right"/>
            </w:pPr>
          </w:p>
        </w:tc>
        <w:tc>
          <w:tcPr>
            <w:tcW w:type="dxa" w:w="1871"/>
          </w:tcPr>
          <w:p>
            <w:pPr>
              <w:jc w:val="right"/>
            </w:pPr>
          </w:p>
        </w:tc>
        <w:tc>
          <w:tcPr>
            <w:tcW w:type="dxa" w:w="1531"/>
          </w:tcPr>
          <w:p>
            <w:pPr>
              <w:jc w:val="right"/>
            </w:pPr>
          </w:p>
        </w:tc>
        <w:tc>
          <w:tcPr>
            <w:tcW w:type="dxa" w:w="1531"/>
          </w:tcPr>
          <w:p>
            <w:pPr>
              <w:jc w:val="right"/>
            </w:pPr>
          </w:p>
        </w:tc>
        <w:tc>
          <w:tcPr>
            <w:tcW w:type="dxa" w:w="2041"/>
          </w:tcPr>
          <w:p/>
        </w:tc>
      </w:tr>
      <w:tr>
        <w:trPr>
          <w:cantSplit/>
          <w:trHeight w:val="397" w:hRule="atLeast"/>
        </w:trPr>
        <w:tc>
          <w:tcPr>
            <w:tcW w:type="dxa" w:w="1134"/>
          </w:tcPr>
          <w:p>
            <w:r>
              <w:rPr>
                <w:b w:val="0"/>
                <w:color w:val="1C1917"/>
                <w:sz w:val="17"/>
              </w:rPr>
              <w:t>August</w:t>
            </w:r>
          </w:p>
        </w:tc>
        <w:tc>
          <w:tcPr>
            <w:tcW w:type="dxa" w:w="1531"/>
          </w:tcPr>
          <w:p>
            <w:pPr>
              <w:jc w:val="right"/>
            </w:pPr>
          </w:p>
        </w:tc>
        <w:tc>
          <w:tcPr>
            <w:tcW w:type="dxa" w:w="1871"/>
          </w:tcPr>
          <w:p>
            <w:pPr>
              <w:jc w:val="right"/>
            </w:pPr>
          </w:p>
        </w:tc>
        <w:tc>
          <w:tcPr>
            <w:tcW w:type="dxa" w:w="1531"/>
          </w:tcPr>
          <w:p>
            <w:pPr>
              <w:jc w:val="right"/>
            </w:pPr>
          </w:p>
        </w:tc>
        <w:tc>
          <w:tcPr>
            <w:tcW w:type="dxa" w:w="1531"/>
          </w:tcPr>
          <w:p>
            <w:pPr>
              <w:jc w:val="right"/>
            </w:pPr>
          </w:p>
        </w:tc>
        <w:tc>
          <w:tcPr>
            <w:tcW w:type="dxa" w:w="2041"/>
          </w:tcPr>
          <w:p/>
        </w:tc>
      </w:tr>
      <w:tr>
        <w:trPr>
          <w:cantSplit/>
          <w:trHeight w:val="397" w:hRule="atLeast"/>
        </w:trPr>
        <w:tc>
          <w:tcPr>
            <w:tcW w:type="dxa" w:w="1134"/>
          </w:tcPr>
          <w:p>
            <w:r>
              <w:rPr>
                <w:b w:val="0"/>
                <w:color w:val="1C1917"/>
                <w:sz w:val="17"/>
              </w:rPr>
              <w:t>September</w:t>
            </w:r>
          </w:p>
        </w:tc>
        <w:tc>
          <w:tcPr>
            <w:tcW w:type="dxa" w:w="1531"/>
          </w:tcPr>
          <w:p>
            <w:pPr>
              <w:jc w:val="right"/>
            </w:pPr>
          </w:p>
        </w:tc>
        <w:tc>
          <w:tcPr>
            <w:tcW w:type="dxa" w:w="1871"/>
          </w:tcPr>
          <w:p>
            <w:pPr>
              <w:jc w:val="right"/>
            </w:pPr>
          </w:p>
        </w:tc>
        <w:tc>
          <w:tcPr>
            <w:tcW w:type="dxa" w:w="1531"/>
          </w:tcPr>
          <w:p>
            <w:pPr>
              <w:jc w:val="right"/>
            </w:pPr>
          </w:p>
        </w:tc>
        <w:tc>
          <w:tcPr>
            <w:tcW w:type="dxa" w:w="1531"/>
          </w:tcPr>
          <w:p>
            <w:pPr>
              <w:jc w:val="right"/>
            </w:pPr>
          </w:p>
        </w:tc>
        <w:tc>
          <w:tcPr>
            <w:tcW w:type="dxa" w:w="2041"/>
          </w:tcPr>
          <w:p/>
        </w:tc>
      </w:tr>
      <w:tr>
        <w:trPr>
          <w:cantSplit/>
          <w:trHeight w:val="397" w:hRule="atLeast"/>
        </w:trPr>
        <w:tc>
          <w:tcPr>
            <w:tcW w:type="dxa" w:w="1134"/>
          </w:tcPr>
          <w:p>
            <w:r>
              <w:rPr>
                <w:b w:val="0"/>
                <w:color w:val="1C1917"/>
                <w:sz w:val="17"/>
              </w:rPr>
              <w:t>Oktober</w:t>
            </w:r>
          </w:p>
        </w:tc>
        <w:tc>
          <w:tcPr>
            <w:tcW w:type="dxa" w:w="1531"/>
          </w:tcPr>
          <w:p>
            <w:pPr>
              <w:jc w:val="right"/>
            </w:pPr>
          </w:p>
        </w:tc>
        <w:tc>
          <w:tcPr>
            <w:tcW w:type="dxa" w:w="1871"/>
          </w:tcPr>
          <w:p>
            <w:pPr>
              <w:jc w:val="right"/>
            </w:pPr>
          </w:p>
        </w:tc>
        <w:tc>
          <w:tcPr>
            <w:tcW w:type="dxa" w:w="1531"/>
          </w:tcPr>
          <w:p>
            <w:pPr>
              <w:jc w:val="right"/>
            </w:pPr>
          </w:p>
        </w:tc>
        <w:tc>
          <w:tcPr>
            <w:tcW w:type="dxa" w:w="1531"/>
          </w:tcPr>
          <w:p>
            <w:pPr>
              <w:jc w:val="right"/>
            </w:pPr>
          </w:p>
        </w:tc>
        <w:tc>
          <w:tcPr>
            <w:tcW w:type="dxa" w:w="2041"/>
          </w:tcPr>
          <w:p/>
        </w:tc>
      </w:tr>
      <w:tr>
        <w:trPr>
          <w:cantSplit/>
          <w:trHeight w:val="397" w:hRule="atLeast"/>
        </w:trPr>
        <w:tc>
          <w:tcPr>
            <w:tcW w:type="dxa" w:w="1134"/>
          </w:tcPr>
          <w:p>
            <w:r>
              <w:rPr>
                <w:b w:val="0"/>
                <w:color w:val="1C1917"/>
                <w:sz w:val="17"/>
              </w:rPr>
              <w:t>November</w:t>
            </w:r>
          </w:p>
        </w:tc>
        <w:tc>
          <w:tcPr>
            <w:tcW w:type="dxa" w:w="1531"/>
          </w:tcPr>
          <w:p>
            <w:pPr>
              <w:jc w:val="right"/>
            </w:pPr>
          </w:p>
        </w:tc>
        <w:tc>
          <w:tcPr>
            <w:tcW w:type="dxa" w:w="1871"/>
          </w:tcPr>
          <w:p>
            <w:pPr>
              <w:jc w:val="right"/>
            </w:pPr>
          </w:p>
        </w:tc>
        <w:tc>
          <w:tcPr>
            <w:tcW w:type="dxa" w:w="1531"/>
          </w:tcPr>
          <w:p>
            <w:pPr>
              <w:jc w:val="right"/>
            </w:pPr>
          </w:p>
        </w:tc>
        <w:tc>
          <w:tcPr>
            <w:tcW w:type="dxa" w:w="1531"/>
          </w:tcPr>
          <w:p>
            <w:pPr>
              <w:jc w:val="right"/>
            </w:pPr>
          </w:p>
        </w:tc>
        <w:tc>
          <w:tcPr>
            <w:tcW w:type="dxa" w:w="2041"/>
          </w:tcPr>
          <w:p/>
        </w:tc>
      </w:tr>
      <w:tr>
        <w:trPr>
          <w:cantSplit/>
          <w:trHeight w:val="397" w:hRule="atLeast"/>
        </w:trPr>
        <w:tc>
          <w:tcPr>
            <w:tcW w:type="dxa" w:w="1134"/>
          </w:tcPr>
          <w:p>
            <w:r>
              <w:rPr>
                <w:b w:val="0"/>
                <w:color w:val="1C1917"/>
                <w:sz w:val="17"/>
              </w:rPr>
              <w:t>Dezember</w:t>
            </w:r>
          </w:p>
        </w:tc>
        <w:tc>
          <w:tcPr>
            <w:tcW w:type="dxa" w:w="1531"/>
          </w:tcPr>
          <w:p>
            <w:pPr>
              <w:jc w:val="right"/>
            </w:pPr>
          </w:p>
        </w:tc>
        <w:tc>
          <w:tcPr>
            <w:tcW w:type="dxa" w:w="1871"/>
          </w:tcPr>
          <w:p>
            <w:pPr>
              <w:jc w:val="right"/>
            </w:pPr>
          </w:p>
        </w:tc>
        <w:tc>
          <w:tcPr>
            <w:tcW w:type="dxa" w:w="1531"/>
          </w:tcPr>
          <w:p>
            <w:pPr>
              <w:jc w:val="right"/>
            </w:pPr>
          </w:p>
        </w:tc>
        <w:tc>
          <w:tcPr>
            <w:tcW w:type="dxa" w:w="1531"/>
          </w:tcPr>
          <w:p>
            <w:pPr>
              <w:jc w:val="right"/>
            </w:pPr>
          </w:p>
        </w:tc>
        <w:tc>
          <w:tcPr>
            <w:tcW w:type="dxa" w:w="2041"/>
          </w:tcPr>
          <w:p/>
        </w:tc>
      </w:tr>
    </w:tbl>
    <w:p>
      <w:pPr>
        <w:spacing w:before="57" w:after="0"/>
      </w:pPr>
      <w:r>
        <w:rPr>
          <w:b w:val="0"/>
          <w:color w:val="1C1917"/>
          <w:sz w:val="18"/>
        </w:rPr>
        <w:t>Einzutragen ist, was im Monat für deine Leistungen eingegangen ist, Anzahlungen im Monat des Eingangs, ohne Umsatzsteuer.</w:t>
      </w:r>
    </w:p>
    <w:p>
      <w:pPr>
        <w:spacing w:before="57" w:after="0"/>
      </w:pPr>
      <w:r>
        <w:rPr>
          <w:b w:val="0"/>
          <w:color w:val="1C1917"/>
          <w:sz w:val="18"/>
        </w:rPr>
        <w:t>Nicht eintragen: Verkäufe von Anlagevermögen, etwa einer gebrauchten Kamera.</w:t>
      </w:r>
    </w:p>
    <w:p>
      <w:pPr>
        <w:spacing w:before="57" w:after="0"/>
      </w:pPr>
      <w:r>
        <w:rPr>
          <w:b w:val="0"/>
          <w:color w:val="1C1917"/>
          <w:sz w:val="18"/>
        </w:rPr>
        <w:t>Gutscheine: siehe sicht.app/ratgeber/gutschein-fotoshooting/.</w:t>
      </w:r>
    </w:p>
    <w:p>
      <w:pPr>
        <w:sectPr>
          <w:footerReference w:type="default" r:id="rId9"/>
          <w:pgSz w:w="11906" w:h="16838"/>
          <w:pgMar w:top="1134" w:right="1134" w:bottom="1134" w:left="1134" w:header="510" w:footer="510" w:gutter="0"/>
          <w:cols w:space="720"/>
          <w:docGrid w:linePitch="360"/>
        </w:sectPr>
      </w:pPr>
    </w:p>
    <w:p>
      <w:pPr>
        <w:spacing w:before="0" w:after="113"/>
      </w:pPr>
      <w:r>
        <w:rPr>
          <w:b/>
          <w:color w:val="1C1917"/>
          <w:sz w:val="32"/>
        </w:rPr>
        <w:t>Checkliste, wenn es knapp wird</w:t>
      </w:r>
    </w:p>
    <w:p>
      <w:pPr>
        <w:keepNext/>
        <w:spacing w:before="227" w:after="85"/>
      </w:pPr>
      <w:r>
        <w:rPr>
          <w:b/>
          <w:color w:val="1C1917"/>
          <w:sz w:val="22"/>
        </w:rPr>
        <w:t>Wenn die Summe über 25 000 € steigt (und das Vorjahr bei höchstens 25 000 € lag, kein Gründungsjahr)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single" w:sz="4" w:color="D6D3D1"/>
          <w:right w:val="nil"/>
          <w:insideH w:val="single" w:sz="4" w:color="D6D3D1"/>
          <w:insideV w:val="nil"/>
        </w:tblBorders>
        <w:tblCellMar>
          <w:top w:w="34" w:type="dxa"/>
          <w:bottom w:w="34" w:type="dxa"/>
          <w:left w:w="56" w:type="dxa"/>
          <w:right w:w="56" w:type="dxa"/>
        </w:tblCellMar>
      </w:tblPr>
      <w:tblGrid>
        <w:gridCol w:w="6803"/>
        <w:gridCol w:w="2835"/>
      </w:tblGrid>
      <w:tr>
        <w:trPr>
          <w:cantSplit/>
          <w:tblHeader/>
        </w:trPr>
        <w:tc>
          <w:tcPr>
            <w:tcW w:type="dxa" w:w="6803"/>
          </w:tcPr>
          <w:p>
            <w:r>
              <w:rPr>
                <w:b/>
                <w:color w:val="78716C"/>
                <w:sz w:val="16"/>
              </w:rPr>
              <w:t>Punkt</w:t>
            </w:r>
          </w:p>
        </w:tc>
        <w:tc>
          <w:tcPr>
            <w:tcW w:type="dxa" w:w="2835"/>
          </w:tcPr>
          <w:p>
            <w:r>
              <w:rPr>
                <w:b/>
                <w:color w:val="78716C"/>
                <w:sz w:val="16"/>
              </w:rPr>
              <w:t>Notiz</w:t>
            </w:r>
          </w:p>
        </w:tc>
      </w:tr>
      <w:tr>
        <w:trPr>
          <w:cantSplit/>
        </w:trPr>
        <w:tc>
          <w:tcPr>
            <w:tcW w:type="dxa" w:w="6803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 xml:space="preserve">1. </w:t>
            </w:r>
            <w:r>
              <w:rPr>
                <w:b w:val="0"/>
                <w:color w:val="1C1917"/>
                <w:sz w:val="17"/>
              </w:rPr>
              <w:t>Dieses Jahr weiter mit Hinweis auf die Steuerbefreiung abrechnen; ab 1. Januar mit Umsatzsteuer. (UStAE 19.1 Abs. 2)</w:t>
            </w:r>
          </w:p>
        </w:tc>
        <w:tc>
          <w:tcPr>
            <w:tcW w:type="dxa" w:w="2835"/>
          </w:tcPr>
          <w:p/>
        </w:tc>
      </w:tr>
      <w:tr>
        <w:trPr>
          <w:cantSplit/>
        </w:trPr>
        <w:tc>
          <w:tcPr>
            <w:tcW w:type="dxa" w:w="6803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 xml:space="preserve">2. </w:t>
            </w:r>
            <w:r>
              <w:rPr>
                <w:b w:val="0"/>
                <w:color w:val="1C1917"/>
                <w:sz w:val="17"/>
              </w:rPr>
              <w:t>Hochzeiten, die du noch dieses Jahr erbringst und die erst nächstes Jahr bezahlt werden, bleiben steuerfrei. (UStAE 19.7 Abs. 1 Satz 1)</w:t>
            </w:r>
          </w:p>
        </w:tc>
        <w:tc>
          <w:tcPr>
            <w:tcW w:type="dxa" w:w="2835"/>
          </w:tcPr>
          <w:p/>
        </w:tc>
      </w:tr>
      <w:tr>
        <w:trPr>
          <w:cantSplit/>
        </w:trPr>
        <w:tc>
          <w:tcPr>
            <w:tcW w:type="dxa" w:w="6803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 xml:space="preserve">3. </w:t>
            </w:r>
            <w:r>
              <w:rPr>
                <w:b w:val="0"/>
                <w:color w:val="1C1917"/>
                <w:sz w:val="17"/>
              </w:rPr>
              <w:t>Verträge für Hochzeiten im nächsten Jahr zum Endpreis auflisten (Paar, Preis, Anzahlung erhalten am). Steuerlich steckt die Umsatzsteuer nach dem Wechsel im Preis; bei 2 000 € und 19 % sind das auf die ganze Hochzeit gerechnet 319,33 €; wie die Anzahlung aus diesem Jahr zählt, klärt Punkt 4. (§ 10 Abs. 1 Satz 2 UStG; UStAE 10.1 Abs. 3 Satz 4)</w:t>
            </w:r>
          </w:p>
        </w:tc>
        <w:tc>
          <w:tcPr>
            <w:tcW w:type="dxa" w:w="2835"/>
          </w:tcPr>
          <w:p/>
        </w:tc>
      </w:tr>
      <w:tr>
        <w:trPr>
          <w:cantSplit/>
        </w:trPr>
        <w:tc>
          <w:tcPr>
            <w:tcW w:type="dxa" w:w="6803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 xml:space="preserve">4. </w:t>
            </w:r>
            <w:r>
              <w:rPr>
                <w:b w:val="0"/>
                <w:color w:val="1C1917"/>
                <w:sz w:val="17"/>
              </w:rPr>
              <w:t>Mit der Steuerberatung klären: Anzahlungen aus diesem Jahr für Hochzeiten im nächsten Jahr (vom Erlass für diese Richtung nicht ausdrücklich geregelt).</w:t>
            </w:r>
          </w:p>
        </w:tc>
        <w:tc>
          <w:tcPr>
            <w:tcW w:type="dxa" w:w="2835"/>
          </w:tcPr>
          <w:p/>
        </w:tc>
      </w:tr>
      <w:tr>
        <w:trPr>
          <w:cantSplit/>
        </w:trPr>
        <w:tc>
          <w:tcPr>
            <w:tcW w:type="dxa" w:w="6803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 xml:space="preserve">5. </w:t>
            </w:r>
            <w:r>
              <w:rPr>
                <w:b w:val="0"/>
                <w:color w:val="1C1917"/>
                <w:sz w:val="17"/>
              </w:rPr>
              <w:t>Rechnungsvorlage zum 1. Januar umstellen (Umsatzsteuer statt Hinweis auf die Steuerbefreiung).</w:t>
            </w:r>
          </w:p>
        </w:tc>
        <w:tc>
          <w:tcPr>
            <w:tcW w:type="dxa" w:w="2835"/>
          </w:tcPr>
          <w:p/>
        </w:tc>
      </w:tr>
    </w:tbl>
    <w:p>
      <w:pPr>
        <w:keepNext/>
        <w:spacing w:before="227" w:after="85"/>
      </w:pPr>
      <w:r>
        <w:rPr>
          <w:b/>
          <w:color w:val="1C1917"/>
          <w:sz w:val="22"/>
        </w:rPr>
        <w:t>Wenn die Summe über 100 000 € steigt, im Gründungsjahr über 25 000 €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single" w:sz="4" w:color="D6D3D1"/>
          <w:right w:val="nil"/>
          <w:insideH w:val="single" w:sz="4" w:color="D6D3D1"/>
          <w:insideV w:val="nil"/>
        </w:tblBorders>
        <w:tblCellMar>
          <w:top w:w="34" w:type="dxa"/>
          <w:bottom w:w="34" w:type="dxa"/>
          <w:left w:w="56" w:type="dxa"/>
          <w:right w:w="56" w:type="dxa"/>
        </w:tblCellMar>
      </w:tblPr>
      <w:tblGrid>
        <w:gridCol w:w="6803"/>
        <w:gridCol w:w="2835"/>
      </w:tblGrid>
      <w:tr>
        <w:trPr>
          <w:cantSplit/>
          <w:tblHeader/>
        </w:trPr>
        <w:tc>
          <w:tcPr>
            <w:tcW w:type="dxa" w:w="6803"/>
          </w:tcPr>
          <w:p>
            <w:r>
              <w:rPr>
                <w:b/>
                <w:color w:val="78716C"/>
                <w:sz w:val="16"/>
              </w:rPr>
              <w:t>Punkt</w:t>
            </w:r>
          </w:p>
        </w:tc>
        <w:tc>
          <w:tcPr>
            <w:tcW w:type="dxa" w:w="2835"/>
          </w:tcPr>
          <w:p>
            <w:r>
              <w:rPr>
                <w:b/>
                <w:color w:val="78716C"/>
                <w:sz w:val="16"/>
              </w:rPr>
              <w:t>Notiz</w:t>
            </w:r>
          </w:p>
        </w:tc>
      </w:tr>
      <w:tr>
        <w:trPr>
          <w:cantSplit/>
        </w:trPr>
        <w:tc>
          <w:tcPr>
            <w:tcW w:type="dxa" w:w="6803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 xml:space="preserve">6. </w:t>
            </w:r>
            <w:r>
              <w:rPr>
                <w:b w:val="0"/>
                <w:color w:val="1C1917"/>
                <w:sz w:val="17"/>
              </w:rPr>
              <w:t>Schon die Zahlung, mit der du darüber kommst, ist in voller Höhe steuerpflichtig; Zahlungen danach auch für früher erbrachte Leistungen. (UStAE 19.1 Abs. 2 Satz 4, 19.7 Abs. 1 Satz 2 und 3)</w:t>
            </w:r>
          </w:p>
        </w:tc>
        <w:tc>
          <w:tcPr>
            <w:tcW w:type="dxa" w:w="2835"/>
          </w:tcPr>
          <w:p/>
        </w:tc>
      </w:tr>
      <w:tr>
        <w:trPr>
          <w:cantSplit/>
        </w:trPr>
        <w:tc>
          <w:tcPr>
            <w:tcW w:type="dxa" w:w="6803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 xml:space="preserve">7. </w:t>
            </w:r>
            <w:r>
              <w:rPr>
                <w:b w:val="0"/>
                <w:color w:val="1C1917"/>
                <w:sz w:val="17"/>
              </w:rPr>
              <w:t>Anzahlung vor, Restzahlung nach dem Überschreiten: Die Finanzverwaltung unterwirft diesen Umsatz der Regelbesteuerung; wie mit der Anzahlung umzugehen ist, mit der Steuerberatung klären. (UStAE 19.7 Abs. 1 Satz 4)</w:t>
            </w:r>
          </w:p>
        </w:tc>
        <w:tc>
          <w:tcPr>
            <w:tcW w:type="dxa" w:w="2835"/>
          </w:tcPr>
          <w:p/>
        </w:tc>
      </w:tr>
      <w:tr>
        <w:trPr>
          <w:cantSplit/>
        </w:trPr>
        <w:tc>
          <w:tcPr>
            <w:tcW w:type="dxa" w:w="6803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 xml:space="preserve">8. </w:t>
            </w:r>
            <w:r>
              <w:rPr>
                <w:b w:val="0"/>
                <w:color w:val="1C1917"/>
                <w:sz w:val="17"/>
              </w:rPr>
              <w:t>Ab jetzt Umsatzsteuer-Voranmeldungen, jeweils bis zum zehnten Tag nach Ablauf des Zeitraums. (UStAE 19.1 Abs. 7 Satz 3; § 18 Abs. 1 UStG)</w:t>
            </w:r>
          </w:p>
        </w:tc>
        <w:tc>
          <w:tcPr>
            <w:tcW w:type="dxa" w:w="2835"/>
          </w:tcPr>
          <w:p/>
        </w:tc>
      </w:tr>
      <w:tr>
        <w:trPr>
          <w:cantSplit/>
        </w:trPr>
        <w:tc>
          <w:tcPr>
            <w:tcW w:type="dxa" w:w="6803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 xml:space="preserve">9. </w:t>
            </w:r>
            <w:r>
              <w:rPr>
                <w:b w:val="0"/>
                <w:color w:val="1C1917"/>
                <w:sz w:val="17"/>
              </w:rPr>
              <w:t xml:space="preserve">Steuerberatung informieren, Datum der überschreitenden Zahlung notieren: </w:t>
            </w:r>
            <w:r>
              <w:rPr>
                <w:b w:val="0"/>
                <w:color w:val="1C1917"/>
                <w:sz w:val="17"/>
                <w:highlight w:val="lightGray"/>
              </w:rPr>
              <w:t>[Datum]</w:t>
            </w:r>
          </w:p>
        </w:tc>
        <w:tc>
          <w:tcPr>
            <w:tcW w:type="dxa" w:w="2835"/>
          </w:tcPr>
          <w:p/>
        </w:tc>
      </w:tr>
    </w:tbl>
    <w:p>
      <w:pPr>
        <w:keepNext/>
        <w:spacing w:before="227" w:after="85"/>
      </w:pPr>
      <w:r>
        <w:rPr>
          <w:b/>
          <w:color w:val="1C1917"/>
          <w:sz w:val="22"/>
        </w:rPr>
        <w:t>Immer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single" w:sz="4" w:color="D6D3D1"/>
          <w:right w:val="nil"/>
          <w:insideH w:val="single" w:sz="4" w:color="D6D3D1"/>
          <w:insideV w:val="nil"/>
        </w:tblBorders>
        <w:tblCellMar>
          <w:top w:w="34" w:type="dxa"/>
          <w:bottom w:w="34" w:type="dxa"/>
          <w:left w:w="56" w:type="dxa"/>
          <w:right w:w="56" w:type="dxa"/>
        </w:tblCellMar>
      </w:tblPr>
      <w:tblGrid>
        <w:gridCol w:w="6803"/>
        <w:gridCol w:w="2835"/>
      </w:tblGrid>
      <w:tr>
        <w:trPr>
          <w:cantSplit/>
          <w:tblHeader/>
        </w:trPr>
        <w:tc>
          <w:tcPr>
            <w:tcW w:type="dxa" w:w="6803"/>
          </w:tcPr>
          <w:p>
            <w:r>
              <w:rPr>
                <w:b/>
                <w:color w:val="78716C"/>
                <w:sz w:val="16"/>
              </w:rPr>
              <w:t>Punkt</w:t>
            </w:r>
          </w:p>
        </w:tc>
        <w:tc>
          <w:tcPr>
            <w:tcW w:type="dxa" w:w="2835"/>
          </w:tcPr>
          <w:p>
            <w:r>
              <w:rPr>
                <w:b/>
                <w:color w:val="78716C"/>
                <w:sz w:val="16"/>
              </w:rPr>
              <w:t>Notiz</w:t>
            </w:r>
          </w:p>
        </w:tc>
      </w:tr>
      <w:tr>
        <w:trPr>
          <w:cantSplit/>
        </w:trPr>
        <w:tc>
          <w:tcPr>
            <w:tcW w:type="dxa" w:w="6803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 xml:space="preserve">10. </w:t>
            </w:r>
            <w:r>
              <w:rPr>
                <w:b w:val="0"/>
                <w:color w:val="1C1917"/>
                <w:sz w:val="17"/>
              </w:rPr>
              <w:t>Solange steuerfrei, Hinweis auf jeder Rechnung: „Für diese Leistung gilt die Steuerbefreiung für Kleinunternehmer (§ 19 UStG).“ (§ 34a Satz 1 Nr. 5 UStDV)</w:t>
            </w:r>
          </w:p>
        </w:tc>
        <w:tc>
          <w:tcPr>
            <w:tcW w:type="dxa" w:w="2835"/>
          </w:tcPr>
          <w:p/>
        </w:tc>
      </w:tr>
      <w:tr>
        <w:trPr>
          <w:cantSplit/>
        </w:trPr>
        <w:tc>
          <w:tcPr>
            <w:tcW w:type="dxa" w:w="6803"/>
          </w:tcPr>
          <w:p>
            <w:pPr>
              <w:tabs>
                <w:tab w:pos="255" w:val="left"/>
              </w:tabs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color w:val="1C1917"/>
                <w:sz w:val="17"/>
              </w:rPr>
              <w:t>☐</w:t>
            </w:r>
            <w:r>
              <w:rPr>
                <w:b w:val="0"/>
                <w:color w:val="1C1917"/>
                <w:sz w:val="17"/>
              </w:rPr>
              <w:tab/>
            </w:r>
            <w:r>
              <w:rPr>
                <w:b w:val="0"/>
                <w:color w:val="1C1917"/>
                <w:sz w:val="17"/>
              </w:rPr>
              <w:t xml:space="preserve">11. </w:t>
            </w:r>
            <w:r>
              <w:rPr>
                <w:b w:val="0"/>
                <w:color w:val="1C1917"/>
                <w:sz w:val="17"/>
              </w:rPr>
              <w:t>Keine Umsatzsteuer „vorsorglich“ ausweisen, solange du Kleinunternehmer bist. (§ 14c Abs. 1 UStG; UStAE 14c.1 Abs. 1a und 2)</w:t>
            </w:r>
          </w:p>
        </w:tc>
        <w:tc>
          <w:tcPr>
            <w:tcW w:type="dxa" w:w="2835"/>
          </w:tcPr>
          <w:p/>
        </w:tc>
      </w:tr>
    </w:tbl>
    <w:p>
      <w:pPr>
        <w:spacing w:before="170" w:after="0"/>
      </w:pPr>
      <w:r>
        <w:rPr>
          <w:b w:val="0"/>
          <w:color w:val="78716C"/>
          <w:sz w:val="17"/>
        </w:rPr>
        <w:t>Kein Punkt zum Verzicht auf die Kleinunternehmerregelung (§ 19 Abs. 3 UStG): Die Entscheidung bindet dich mindestens fünf Jahre und gehört ins Gespräch mit der Steuerberatung.</w:t>
      </w:r>
    </w:p>
    <w:sectPr w:rsidR="00FC693F" w:rsidRPr="0006063C" w:rsidSect="00034616"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D6D3D1"/>
      </w:pBdr>
    </w:pPr>
    <w:r>
      <w:rPr>
        <w:b w:val="0"/>
        <w:color w:val="78716C"/>
        <w:sz w:val="16"/>
      </w:rPr>
      <w:t>Vorlage von sicht.app · sicht.app/ratgeber/kleinunternehmer-grenze/ · ohne Gewähr</w:t>
    </w:r>
    <w:r>
      <w:drawing>
        <wp:anchor distT="0" distB="0" distL="0" distR="0" simplePos="0" relativeHeight="251659264" behindDoc="0" locked="1" layoutInCell="1" allowOverlap="1">
          <wp:simplePos x="0" y="0"/>
          <wp:positionH relativeFrom="margin">
            <wp:align>right</wp:align>
          </wp:positionH>
          <wp:positionV relativeFrom="page">
            <wp:posOffset>10232680</wp:posOffset>
          </wp:positionV>
          <wp:extent cx="401800" cy="151200"/>
          <wp:effectExtent l="0" t="0" r="0" b="0"/>
          <wp:wrapNone/>
          <wp:docPr id="1" name="Picture 1" descr="sicht.app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v3-vorlagen-logo-fus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1800" cy="151200"/>
                  </a:xfrm>
                  <a:prstGeom prst="rect"/>
                </pic:spPr>
              </pic:pic>
            </a:graphicData>
          </a:graphic>
        </wp:anchor>
      </w:drawing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Arial" w:hAnsi="Arial" w:eastAsia="Arial" w:cs="Arial"/>
      <w:color w:val="1C191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Rechenblatt Grenze im Blick – Vorlage</dc:title>
  <dc:subject/>
  <dc:creator>sicht.app</dc:creator>
  <cp:keywords>Vorlage, sicht.app</cp:keywords>
  <dc:description/>
  <cp:lastModifiedBy>sicht.app</cp:lastModifiedBy>
  <cp:revision>1</cp:revision>
  <dcterms:created xsi:type="dcterms:W3CDTF">2013-12-23T23:15:00Z</dcterms:created>
  <dcterms:modified xsi:type="dcterms:W3CDTF">2013-12-23T23:15:00Z</dcterms:modified>
  <cp:category/>
</cp:coreProperties>
</file>