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5"/>
      </w:pPr>
      <w:r>
        <w:rPr>
          <w:b/>
          <w:color w:val="1C1917"/>
          <w:sz w:val="32"/>
        </w:rPr>
        <w:t>Checkliste E-Rechnung im kleinen Studio</w:t>
      </w:r>
    </w:p>
    <w:p>
      <w:pPr>
        <w:spacing w:before="0" w:after="113"/>
      </w:pPr>
      <w:r>
        <w:rPr>
          <w:b w:val="0"/>
          <w:color w:val="78716C"/>
          <w:sz w:val="22"/>
        </w:rPr>
        <w:t>Empfangen, ablegen, ausstellen</w:t>
      </w:r>
    </w:p>
    <w:p>
      <w:pPr>
        <w:spacing w:before="0" w:after="57"/>
      </w:pPr>
      <w:r>
        <w:rPr>
          <w:b w:val="0"/>
          <w:color w:val="1C1917"/>
          <w:sz w:val="18"/>
        </w:rPr>
        <w:t>Stand der Rechtslage: 26.10.2026 (Umsatzsteuergesetz und Durchführungsverordnung, BMF-Fragen und -Antworten Stand März 2026, BMF-Schreiben vom 15.10.2025 und 15.10.2026, GoBD in der Fassung vom 14.07.2025). Die Übergangsfristen enden am 31.12.2026 und 31.12.2027; prüfe vor der Verwendung, ob es neue Schreiben gibt. Ersetzt keine Steuerberatung.</w:t>
      </w:r>
    </w:p>
    <w:p>
      <w:pPr>
        <w:spacing w:before="0" w:after="57"/>
      </w:pPr>
      <w:r>
        <w:rPr>
          <w:b w:val="0"/>
          <w:color w:val="78716C"/>
          <w:sz w:val="18"/>
        </w:rPr>
        <w:t>Unverbindliche Vorlage, Stand 26.10.2026. Ohne Gewähr für Vollständigkeit, Richtigkeit und Aktualität. Ersetzt keine Rechts- oder Steuerberatung – prüfe sie vor der Verwendung für deinen Fall.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3118"/>
        <w:gridCol w:w="6520"/>
      </w:tblGrid>
      <w:tr>
        <w:trPr>
          <w:cantSplit/>
          <w:trHeight w:val="369" w:hRule="atLeast"/>
        </w:trPr>
        <w:tc>
          <w:tcPr>
            <w:tcW w:type="dxa" w:w="3118"/>
          </w:tcPr>
          <w:p>
            <w:r>
              <w:rPr>
                <w:b w:val="0"/>
                <w:color w:val="78716C"/>
                <w:sz w:val="16"/>
              </w:rPr>
              <w:t>Rechnungsadresse</w:t>
            </w:r>
          </w:p>
        </w:tc>
        <w:tc>
          <w:tcPr>
            <w:tcW w:type="dxa" w:w="6520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[Mailadresse]</w:t>
            </w:r>
          </w:p>
        </w:tc>
      </w:tr>
      <w:tr>
        <w:trPr>
          <w:cantSplit/>
          <w:trHeight w:val="369" w:hRule="atLeast"/>
        </w:trPr>
        <w:tc>
          <w:tcPr>
            <w:tcW w:type="dxa" w:w="3118"/>
          </w:tcPr>
          <w:p>
            <w:r>
              <w:rPr>
                <w:b w:val="0"/>
                <w:color w:val="78716C"/>
                <w:sz w:val="16"/>
              </w:rPr>
              <w:t>Lieferanten informiert am</w:t>
            </w:r>
          </w:p>
        </w:tc>
        <w:tc>
          <w:tcPr>
            <w:tcW w:type="dxa" w:w="6520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[Datum, wer]</w:t>
            </w:r>
          </w:p>
        </w:tc>
      </w:tr>
      <w:tr>
        <w:trPr>
          <w:cantSplit/>
          <w:trHeight w:val="369" w:hRule="atLeast"/>
        </w:trPr>
        <w:tc>
          <w:tcPr>
            <w:tcW w:type="dxa" w:w="3118"/>
          </w:tcPr>
          <w:p>
            <w:r>
              <w:rPr>
                <w:b w:val="0"/>
                <w:color w:val="78716C"/>
                <w:sz w:val="16"/>
              </w:rPr>
              <w:t>Ablageort</w:t>
            </w:r>
          </w:p>
        </w:tc>
        <w:tc>
          <w:tcPr>
            <w:tcW w:type="dxa" w:w="6520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[Ordner, Sicherung]</w:t>
            </w:r>
          </w:p>
        </w:tc>
      </w:tr>
      <w:tr>
        <w:trPr>
          <w:cantSplit/>
          <w:trHeight w:val="369" w:hRule="atLeast"/>
        </w:trPr>
        <w:tc>
          <w:tcPr>
            <w:tcW w:type="dxa" w:w="3118"/>
          </w:tcPr>
          <w:p>
            <w:r>
              <w:rPr>
                <w:b w:val="0"/>
                <w:color w:val="78716C"/>
                <w:sz w:val="16"/>
              </w:rPr>
              <w:t>Steuerberatung abgestimmt am</w:t>
            </w:r>
          </w:p>
        </w:tc>
        <w:tc>
          <w:tcPr>
            <w:tcW w:type="dxa" w:w="6520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[Datum]</w:t>
            </w:r>
          </w:p>
        </w:tc>
      </w:tr>
    </w:tbl>
    <w:p>
      <w:pPr>
        <w:keepNext/>
        <w:spacing w:before="227" w:after="85"/>
      </w:pPr>
      <w:r>
        <w:rPr>
          <w:b/>
          <w:color w:val="1C1917"/>
          <w:sz w:val="22"/>
        </w:rPr>
        <w:t>Teil A – Empfang einrichten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34" w:type="dxa"/>
          <w:bottom w:w="34" w:type="dxa"/>
          <w:left w:w="56" w:type="dxa"/>
          <w:right w:w="56" w:type="dxa"/>
        </w:tblCellMar>
      </w:tblPr>
      <w:tblGrid>
        <w:gridCol w:w="5669"/>
        <w:gridCol w:w="2268"/>
        <w:gridCol w:w="1701"/>
      </w:tblGrid>
      <w:tr>
        <w:trPr>
          <w:cantSplit/>
          <w:tblHeader/>
        </w:trPr>
        <w:tc>
          <w:tcPr>
            <w:tcW w:type="dxa" w:w="5669"/>
          </w:tcPr>
          <w:p>
            <w:r>
              <w:rPr>
                <w:b/>
                <w:color w:val="78716C"/>
                <w:sz w:val="16"/>
              </w:rPr>
              <w:t>Punkt</w:t>
            </w:r>
          </w:p>
        </w:tc>
        <w:tc>
          <w:tcPr>
            <w:tcW w:type="dxa" w:w="2268"/>
          </w:tcPr>
          <w:p>
            <w:r>
              <w:rPr>
                <w:b/>
                <w:color w:val="78716C"/>
                <w:sz w:val="16"/>
              </w:rPr>
              <w:t>Grundlage</w:t>
            </w:r>
          </w:p>
        </w:tc>
        <w:tc>
          <w:tcPr>
            <w:tcW w:type="dxa" w:w="1701"/>
          </w:tcPr>
          <w:p>
            <w:r>
              <w:rPr>
                <w:b/>
                <w:color w:val="78716C"/>
                <w:sz w:val="16"/>
              </w:rPr>
              <w:t>Notiz</w:t>
            </w:r>
          </w:p>
        </w:tc>
      </w:tr>
      <w:tr>
        <w:trPr>
          <w:cantSplit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1. Eine Mailadresse für Rechnungen festgelegt, die regelmäßig gelesen wird (ein E-Mail-Postfach reicht, kein eigenes nur für E-Rechnungen nötig)</w:t>
            </w:r>
          </w:p>
        </w:tc>
        <w:tc>
          <w:tcPr>
            <w:tcW w:type="dxa" w:w="2268"/>
          </w:tcPr>
          <w:p>
            <w:r>
              <w:rPr>
                <w:b w:val="0"/>
                <w:color w:val="78716C"/>
                <w:sz w:val="15"/>
              </w:rPr>
              <w:t>BMF-FAQ Frage 8, 12; UStAE 14.1 Abs. 5 (BMF 15.10.2025)</w:t>
            </w:r>
          </w:p>
        </w:tc>
        <w:tc>
          <w:tcPr>
            <w:tcW w:type="dxa" w:w="1701"/>
          </w:tcPr>
          <w:p/>
        </w:tc>
      </w:tr>
      <w:tr>
        <w:trPr>
          <w:cantSplit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2. Diese Adresse den Lieferanten schriftlich genannt (Hersteller, Großhandel, Software, Druckerei, Labor)</w:t>
            </w:r>
          </w:p>
        </w:tc>
        <w:tc>
          <w:tcPr>
            <w:tcW w:type="dxa" w:w="2268"/>
          </w:tcPr>
          <w:p>
            <w:r>
              <w:rPr>
                <w:b w:val="0"/>
                <w:color w:val="78716C"/>
                <w:sz w:val="15"/>
              </w:rPr>
              <w:t>Rat, keine Pflicht</w:t>
            </w:r>
          </w:p>
        </w:tc>
        <w:tc>
          <w:tcPr>
            <w:tcW w:type="dxa" w:w="1701"/>
          </w:tcPr>
          <w:p/>
        </w:tc>
      </w:tr>
      <w:tr>
        <w:trPr>
          <w:cantSplit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3. Weiß, dass das seit 01.01.2025 auch für Kleinunternehmer gilt</w:t>
            </w:r>
          </w:p>
        </w:tc>
        <w:tc>
          <w:tcPr>
            <w:tcW w:type="dxa" w:w="2268"/>
          </w:tcPr>
          <w:p>
            <w:r>
              <w:rPr>
                <w:b w:val="0"/>
                <w:color w:val="78716C"/>
                <w:sz w:val="15"/>
              </w:rPr>
              <w:t>BMF-FAQ Frage 12</w:t>
            </w:r>
          </w:p>
        </w:tc>
        <w:tc>
          <w:tcPr>
            <w:tcW w:type="dxa" w:w="1701"/>
          </w:tcPr>
          <w:p/>
        </w:tc>
      </w:tr>
      <w:tr>
        <w:trPr>
          <w:cantSplit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4. Weiß, dass es keinen Anspruch auf eine Papier- oder PDF-Rechnung gibt, wenn ich eine E-Rechnung technisch nicht empfangen kann oder ablehne</w:t>
            </w:r>
          </w:p>
        </w:tc>
        <w:tc>
          <w:tcPr>
            <w:tcW w:type="dxa" w:w="2268"/>
          </w:tcPr>
          <w:p>
            <w:r>
              <w:rPr>
                <w:b w:val="0"/>
                <w:color w:val="78716C"/>
                <w:sz w:val="15"/>
              </w:rPr>
              <w:t>UStAE 14.1 Abs. 5 Satz 4</w:t>
            </w:r>
          </w:p>
        </w:tc>
        <w:tc>
          <w:tcPr>
            <w:tcW w:type="dxa" w:w="1701"/>
          </w:tcPr>
          <w:p/>
        </w:tc>
      </w:tr>
      <w:tr>
        <w:trPr>
          <w:cantSplit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5. Kann eine XRechnung lesbar machen (Viewer der Steuerverwaltung auf ELSTER, e-rechnung.elster.de, oder ein anderer Viewer)</w:t>
            </w:r>
          </w:p>
        </w:tc>
        <w:tc>
          <w:tcPr>
            <w:tcW w:type="dxa" w:w="2268"/>
          </w:tcPr>
          <w:p>
            <w:r>
              <w:rPr>
                <w:b w:val="0"/>
                <w:color w:val="78716C"/>
                <w:sz w:val="15"/>
              </w:rPr>
              <w:t>BMF-FAQ Frage 12a</w:t>
            </w:r>
          </w:p>
        </w:tc>
        <w:tc>
          <w:tcPr>
            <w:tcW w:type="dxa" w:w="1701"/>
          </w:tcPr>
          <w:p/>
        </w:tc>
      </w:tr>
      <w:tr>
        <w:trPr>
          <w:cantSplit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6. Weiß, dass bei einer ZUGFeRD-Rechnung die eingebetteten Daten gelten, wenn sie von der Ansicht abweichen</w:t>
            </w:r>
          </w:p>
        </w:tc>
        <w:tc>
          <w:tcPr>
            <w:tcW w:type="dxa" w:w="2268"/>
          </w:tcPr>
          <w:p>
            <w:r>
              <w:rPr>
                <w:b w:val="0"/>
                <w:color w:val="78716C"/>
                <w:sz w:val="15"/>
              </w:rPr>
              <w:t>BMF-FAQ Frage 12a</w:t>
            </w:r>
          </w:p>
        </w:tc>
        <w:tc>
          <w:tcPr>
            <w:tcW w:type="dxa" w:w="1701"/>
          </w:tcPr>
          <w:p/>
        </w:tc>
      </w:tr>
    </w:tbl>
    <w:p>
      <w:pPr>
        <w:keepNext/>
        <w:spacing w:before="227" w:after="85"/>
      </w:pPr>
      <w:r>
        <w:rPr>
          <w:b/>
          <w:color w:val="1C1917"/>
          <w:sz w:val="22"/>
        </w:rPr>
        <w:t>Teil B – Ablage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34" w:type="dxa"/>
          <w:bottom w:w="34" w:type="dxa"/>
          <w:left w:w="56" w:type="dxa"/>
          <w:right w:w="56" w:type="dxa"/>
        </w:tblCellMar>
      </w:tblPr>
      <w:tblGrid>
        <w:gridCol w:w="5669"/>
        <w:gridCol w:w="2268"/>
        <w:gridCol w:w="1701"/>
      </w:tblGrid>
      <w:tr>
        <w:trPr>
          <w:cantSplit/>
          <w:tblHeader/>
        </w:trPr>
        <w:tc>
          <w:tcPr>
            <w:tcW w:type="dxa" w:w="5669"/>
          </w:tcPr>
          <w:p>
            <w:r>
              <w:rPr>
                <w:b/>
                <w:color w:val="78716C"/>
                <w:sz w:val="16"/>
              </w:rPr>
              <w:t>Punkt</w:t>
            </w:r>
          </w:p>
        </w:tc>
        <w:tc>
          <w:tcPr>
            <w:tcW w:type="dxa" w:w="2268"/>
          </w:tcPr>
          <w:p>
            <w:r>
              <w:rPr>
                <w:b/>
                <w:color w:val="78716C"/>
                <w:sz w:val="16"/>
              </w:rPr>
              <w:t>Grundlage</w:t>
            </w:r>
          </w:p>
        </w:tc>
        <w:tc>
          <w:tcPr>
            <w:tcW w:type="dxa" w:w="1701"/>
          </w:tcPr>
          <w:p>
            <w:r>
              <w:rPr>
                <w:b/>
                <w:color w:val="78716C"/>
                <w:sz w:val="16"/>
              </w:rPr>
              <w:t>Notiz</w:t>
            </w:r>
          </w:p>
        </w:tc>
      </w:tr>
      <w:tr>
        <w:trPr>
          <w:cantSplit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1. Ein- und ausgehende Rechnungen acht Jahre aufbewahren, ab Ende des Jahres der Ausstellung; länger, solange sie für eine Steuer wichtig sind, deren Festsetzungsfrist noch läuft</w:t>
            </w:r>
          </w:p>
        </w:tc>
        <w:tc>
          <w:tcPr>
            <w:tcW w:type="dxa" w:w="2268"/>
          </w:tcPr>
          <w:p>
            <w:r>
              <w:rPr>
                <w:b w:val="0"/>
                <w:color w:val="78716C"/>
                <w:sz w:val="15"/>
              </w:rPr>
              <w:t>§ 14b Abs. 1 UStG, § 147 Abs. 3 Satz 1 und 5 AO</w:t>
            </w:r>
          </w:p>
        </w:tc>
        <w:tc>
          <w:tcPr>
            <w:tcW w:type="dxa" w:w="1701"/>
          </w:tcPr>
          <w:p/>
        </w:tc>
      </w:tr>
      <w:tr>
        <w:trPr>
          <w:cantSplit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2. E-Rechnungen grundsätzlich im empfangenen Format ablegen: die XML-Datei, bei ZUGFeRD das PDF mit der eingebetteten Datei, unverändert</w:t>
            </w:r>
          </w:p>
        </w:tc>
        <w:tc>
          <w:tcPr>
            <w:tcW w:type="dxa" w:w="2268"/>
          </w:tcPr>
          <w:p>
            <w:r>
              <w:rPr>
                <w:b w:val="0"/>
                <w:color w:val="78716C"/>
                <w:sz w:val="15"/>
              </w:rPr>
              <w:t>UStAE 14b.1 Abs. 1 (BMF 15.10.2025), GoBD Rz. 131</w:t>
            </w:r>
          </w:p>
        </w:tc>
        <w:tc>
          <w:tcPr>
            <w:tcW w:type="dxa" w:w="1701"/>
          </w:tcPr>
          <w:p/>
        </w:tc>
      </w:tr>
      <w:tr>
        <w:trPr>
          <w:cantSplit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3. Nicht nur einen Ausdruck abheften und die Datei löschen</w:t>
            </w:r>
          </w:p>
        </w:tc>
        <w:tc>
          <w:tcPr>
            <w:tcW w:type="dxa" w:w="2268"/>
          </w:tcPr>
          <w:p>
            <w:r>
              <w:rPr>
                <w:b w:val="0"/>
                <w:color w:val="78716C"/>
                <w:sz w:val="15"/>
              </w:rPr>
              <w:t>Folge aus Punkt 2</w:t>
            </w:r>
          </w:p>
        </w:tc>
        <w:tc>
          <w:tcPr>
            <w:tcW w:type="dxa" w:w="1701"/>
          </w:tcPr>
          <w:p/>
        </w:tc>
      </w:tr>
      <w:tr>
        <w:trPr>
          <w:cantSplit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4. Das lesbare PDF einer ZUGFeRD-Rechnung zusätzlich aufheben, wenn darin steuerlich wichtige Angaben stehen, die in den Daten fehlen (z. B. Buchungsvermerk)</w:t>
            </w:r>
          </w:p>
        </w:tc>
        <w:tc>
          <w:tcPr>
            <w:tcW w:type="dxa" w:w="2268"/>
          </w:tcPr>
          <w:p>
            <w:r>
              <w:rPr>
                <w:b w:val="0"/>
                <w:color w:val="78716C"/>
                <w:sz w:val="15"/>
              </w:rPr>
              <w:t>GoBD Rz. 119, 131</w:t>
            </w:r>
          </w:p>
        </w:tc>
        <w:tc>
          <w:tcPr>
            <w:tcW w:type="dxa" w:w="1701"/>
          </w:tcPr>
          <w:p/>
        </w:tc>
      </w:tr>
      <w:tr>
        <w:trPr>
          <w:cantSplit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5. Ablage und Sicherung mit der Steuerberatung abgestimmt (umsatzsteuerlich ist eine Speicherung außerhalb eines GoBD-konformen Systems laut BMF „regelmäßig“ kein Verstoß; für die Abgabenordnung gelten die GoBD)</w:t>
            </w:r>
          </w:p>
        </w:tc>
        <w:tc>
          <w:tcPr>
            <w:tcW w:type="dxa" w:w="2268"/>
          </w:tcPr>
          <w:p>
            <w:r>
              <w:rPr>
                <w:b w:val="0"/>
                <w:color w:val="78716C"/>
                <w:sz w:val="15"/>
              </w:rPr>
              <w:t>BMF-FAQ Frage 13</w:t>
            </w:r>
          </w:p>
        </w:tc>
        <w:tc>
          <w:tcPr>
            <w:tcW w:type="dxa" w:w="1701"/>
          </w:tcPr>
          <w:p/>
        </w:tc>
      </w:tr>
    </w:tbl>
    <w:p>
      <w:pPr>
        <w:sectPr>
          <w:footerReference w:type="default" r:id="rId9"/>
          <w:pgSz w:w="11906" w:h="16838"/>
          <w:pgMar w:top="1134" w:right="1134" w:bottom="1134" w:left="1134" w:header="510" w:footer="510" w:gutter="0"/>
          <w:cols w:space="720"/>
          <w:docGrid w:linePitch="360"/>
        </w:sectPr>
      </w:pPr>
    </w:p>
    <w:p>
      <w:pPr>
        <w:spacing w:before="0" w:after="113"/>
      </w:pPr>
      <w:r>
        <w:rPr>
          <w:b/>
          <w:color w:val="1C1917"/>
          <w:sz w:val="32"/>
        </w:rPr>
        <w:t>Ausstellen: wen betrifft das wann</w:t>
      </w:r>
    </w:p>
    <w:p>
      <w:pPr>
        <w:keepNext/>
        <w:spacing w:before="57" w:after="85"/>
      </w:pPr>
      <w:r>
        <w:rPr>
          <w:b/>
          <w:color w:val="1C1917"/>
          <w:sz w:val="22"/>
        </w:rPr>
        <w:t>Teil C – An wen schreibst du?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34" w:type="dxa"/>
          <w:bottom w:w="34" w:type="dxa"/>
          <w:left w:w="56" w:type="dxa"/>
          <w:right w:w="56" w:type="dxa"/>
        </w:tblCellMar>
      </w:tblPr>
      <w:tblGrid>
        <w:gridCol w:w="4535"/>
        <w:gridCol w:w="5102"/>
      </w:tblGrid>
      <w:tr>
        <w:trPr>
          <w:cantSplit/>
          <w:tblHeader/>
        </w:trPr>
        <w:tc>
          <w:tcPr>
            <w:tcW w:type="dxa" w:w="4535"/>
          </w:tcPr>
          <w:p>
            <w:r>
              <w:rPr>
                <w:b/>
                <w:color w:val="78716C"/>
                <w:sz w:val="16"/>
              </w:rPr>
              <w:t>Fall</w:t>
            </w:r>
          </w:p>
        </w:tc>
        <w:tc>
          <w:tcPr>
            <w:tcW w:type="dxa" w:w="5102"/>
          </w:tcPr>
          <w:p>
            <w:r>
              <w:rPr>
                <w:b/>
                <w:color w:val="78716C"/>
                <w:sz w:val="16"/>
              </w:rPr>
              <w:t>Was gilt</w:t>
            </w:r>
          </w:p>
        </w:tc>
      </w:tr>
      <w:tr>
        <w:trPr>
          <w:cantSplit/>
        </w:trPr>
        <w:tc>
          <w:tcPr>
            <w:tcW w:type="dxa" w:w="4535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Paar, das die eigene Hochzeit bucht (in aller Regel privat)</w:t>
            </w:r>
          </w:p>
        </w:tc>
        <w:tc>
          <w:tcPr>
            <w:tcW w:type="dxa" w:w="5102"/>
          </w:tcPr>
          <w:p>
            <w:r>
              <w:rPr>
                <w:b w:val="0"/>
                <w:color w:val="78716C"/>
                <w:sz w:val="16"/>
              </w:rPr>
              <w:t>keine E-Rechnungspflicht; Papier, PDF mit Zustimmung des Paares (auch stillschweigend) – BMF-FAQ Einleitung/Frage 4, UStAE 14.1 Abs. 7</w:t>
            </w:r>
          </w:p>
        </w:tc>
      </w:tr>
      <w:tr>
        <w:trPr>
          <w:cantSplit/>
        </w:trPr>
        <w:tc>
          <w:tcPr>
            <w:tcW w:type="dxa" w:w="4535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Unternehmen im Inland für seinen Betrieb (Firmenfeier, Hotel/Location für eigene Werbung, Hochzeitsplanerin, die in eigenem Namen bucht und dem Paar selbst eine Rechnung stellt, Kollegin als Auftraggeberin, Label-Shooting)</w:t>
            </w:r>
          </w:p>
        </w:tc>
        <w:tc>
          <w:tcPr>
            <w:tcW w:type="dxa" w:w="5102"/>
          </w:tcPr>
          <w:p>
            <w:r>
              <w:rPr>
                <w:b w:val="0"/>
                <w:color w:val="78716C"/>
                <w:sz w:val="16"/>
              </w:rPr>
              <w:t>Pflicht zur E-Rechnung nach § 14 Abs. 2 Satz 2 Nr. 1 UStG, aber siehe Teil D</w:t>
            </w:r>
          </w:p>
        </w:tc>
      </w:tr>
    </w:tbl>
    <w:p>
      <w:pPr>
        <w:keepNext/>
        <w:spacing w:before="227" w:after="85"/>
      </w:pPr>
      <w:r>
        <w:rPr>
          <w:b/>
          <w:color w:val="1C1917"/>
          <w:sz w:val="22"/>
        </w:rPr>
        <w:t>Teil D – Bin ich betroffen?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34" w:type="dxa"/>
          <w:bottom w:w="34" w:type="dxa"/>
          <w:left w:w="56" w:type="dxa"/>
          <w:right w:w="56" w:type="dxa"/>
        </w:tblCellMar>
      </w:tblPr>
      <w:tblGrid>
        <w:gridCol w:w="3969"/>
        <w:gridCol w:w="5669"/>
      </w:tblGrid>
      <w:tr>
        <w:trPr>
          <w:cantSplit/>
          <w:tblHeader/>
        </w:trPr>
        <w:tc>
          <w:tcPr>
            <w:tcW w:type="dxa" w:w="3969"/>
          </w:tcPr>
          <w:p>
            <w:r>
              <w:rPr>
                <w:b/>
                <w:color w:val="78716C"/>
                <w:sz w:val="16"/>
              </w:rPr>
              <w:t>Frage</w:t>
            </w:r>
          </w:p>
        </w:tc>
        <w:tc>
          <w:tcPr>
            <w:tcW w:type="dxa" w:w="5669"/>
          </w:tcPr>
          <w:p>
            <w:r>
              <w:rPr>
                <w:b/>
                <w:color w:val="78716C"/>
                <w:sz w:val="16"/>
              </w:rPr>
              <w:t>Ergebnis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1. Ich bin Kleinunternehmer (Gesamtumsatz Vorjahr höchstens 25 000 €, laufendes Jahr höchstens 100 000 €, § 19 Abs. 1 UStG; Einzelheiten im Ratgeber zur Kleinunternehmer-Grenze)</w:t>
            </w:r>
          </w:p>
        </w:tc>
        <w:tc>
          <w:tcPr>
            <w:tcW w:type="dxa" w:w="5669"/>
          </w:tcPr>
          <w:p>
            <w:r>
              <w:rPr>
                <w:b w:val="0"/>
                <w:color w:val="1C1917"/>
                <w:sz w:val="17"/>
              </w:rPr>
              <w:t>Ich darf immer eine sonstige Rechnung schicken (Papier; PDF mit Zustimmung, auch stillschweigend). Eine Frist, nach der das endet, nennt § 34a Satz 4 UStDV nicht. Freiwillig eine E-Rechnung an ein Unternehmen geht ohne Zustimmung; der Hinweis auf die Steuerbefreiung für Kleinunternehmer gehört trotzdem hinein (§ 34a Satz 1 Nr. 5 UStDV).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2. Ich rechne mit Umsatzsteuer ab</w:t>
            </w:r>
          </w:p>
        </w:tc>
        <w:tc>
          <w:tcPr>
            <w:tcW w:type="dxa" w:w="5669"/>
          </w:tcPr>
          <w:p>
            <w:r>
              <w:rPr>
                <w:b w:val="0"/>
                <w:color w:val="1C1917"/>
                <w:sz w:val="17"/>
              </w:rPr>
              <w:t>Tabelle unten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3. Wechsel aus der Kleinunternehmerregelung in die Regelbesteuerung</w:t>
            </w:r>
          </w:p>
        </w:tc>
        <w:tc>
          <w:tcPr>
            <w:tcW w:type="dxa" w:w="5669"/>
          </w:tcPr>
          <w:p>
            <w:r>
              <w:rPr>
                <w:b w:val="0"/>
                <w:color w:val="1C1917"/>
                <w:sz w:val="17"/>
              </w:rPr>
              <w:t>Ab diesem Zeitpunkt gilt Punkt 2 für Rechnungen an Unternehmen (BMF-FAQ Frage 4).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4. Rechnung über höchstens 250 € Gesamtbetrag</w:t>
            </w:r>
          </w:p>
        </w:tc>
        <w:tc>
          <w:tcPr>
            <w:tcW w:type="dxa" w:w="5669"/>
          </w:tcPr>
          <w:p>
            <w:r>
              <w:rPr>
                <w:b w:val="0"/>
                <w:color w:val="1C1917"/>
                <w:sz w:val="17"/>
              </w:rPr>
              <w:t>Immer als sonstige Rechnung möglich (§ 33 Satz 4 UStDV).</w:t>
            </w:r>
          </w:p>
        </w:tc>
      </w:tr>
    </w:tbl>
    <w:p>
      <w:pPr>
        <w:keepNext/>
        <w:spacing w:before="227" w:after="85"/>
      </w:pPr>
      <w:r>
        <w:rPr>
          <w:b/>
          <w:color w:val="1C1917"/>
          <w:sz w:val="22"/>
        </w:rPr>
        <w:t>Übergangsfristen mit Umsatzsteuer, Rechnung an ein Unternehmen im Inland</w:t>
      </w:r>
      <w:r>
        <w:rPr>
          <w:b w:val="0"/>
          <w:color w:val="78716C"/>
          <w:sz w:val="18"/>
        </w:rPr>
        <w:t xml:space="preserve">  § 27 Abs. 38 UStG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34" w:type="dxa"/>
          <w:bottom w:w="34" w:type="dxa"/>
          <w:left w:w="56" w:type="dxa"/>
          <w:right w:w="56" w:type="dxa"/>
        </w:tblCellMar>
      </w:tblPr>
      <w:tblGrid>
        <w:gridCol w:w="1928"/>
        <w:gridCol w:w="3515"/>
        <w:gridCol w:w="4195"/>
      </w:tblGrid>
      <w:tr>
        <w:trPr>
          <w:cantSplit/>
          <w:tblHeader/>
        </w:trPr>
        <w:tc>
          <w:tcPr>
            <w:tcW w:type="dxa" w:w="1928"/>
          </w:tcPr>
          <w:p>
            <w:r>
              <w:rPr>
                <w:b/>
                <w:color w:val="78716C"/>
                <w:sz w:val="16"/>
              </w:rPr>
              <w:t>Leistung erbracht</w:t>
            </w:r>
          </w:p>
        </w:tc>
        <w:tc>
          <w:tcPr>
            <w:tcW w:type="dxa" w:w="3515"/>
          </w:tcPr>
          <w:p>
            <w:r>
              <w:rPr>
                <w:b/>
                <w:color w:val="78716C"/>
                <w:sz w:val="16"/>
              </w:rPr>
              <w:t>Rechnung an ein Unternehmen im Inland</w:t>
            </w:r>
          </w:p>
        </w:tc>
        <w:tc>
          <w:tcPr>
            <w:tcW w:type="dxa" w:w="4195"/>
          </w:tcPr>
          <w:p>
            <w:r>
              <w:rPr>
                <w:b/>
                <w:color w:val="78716C"/>
                <w:sz w:val="16"/>
              </w:rPr>
              <w:t>Bedingung</w:t>
            </w:r>
          </w:p>
        </w:tc>
      </w:tr>
      <w:tr>
        <w:trPr>
          <w:cantSplit/>
        </w:trPr>
        <w:tc>
          <w:tcPr>
            <w:tcW w:type="dxa" w:w="1928"/>
          </w:tcPr>
          <w:p>
            <w:r>
              <w:rPr>
                <w:b w:val="0"/>
                <w:color w:val="1C1917"/>
                <w:sz w:val="17"/>
              </w:rPr>
              <w:t>2025 oder 2026</w:t>
            </w:r>
          </w:p>
        </w:tc>
        <w:tc>
          <w:tcPr>
            <w:tcW w:type="dxa" w:w="3515"/>
          </w:tcPr>
          <w:p>
            <w:r>
              <w:rPr>
                <w:b w:val="0"/>
                <w:color w:val="1C1917"/>
                <w:sz w:val="17"/>
              </w:rPr>
              <w:t>auf Papier, mit Zustimmung auch als PDF</w:t>
            </w:r>
          </w:p>
        </w:tc>
        <w:tc>
          <w:tcPr>
            <w:tcW w:type="dxa" w:w="4195"/>
          </w:tcPr>
          <w:p>
            <w:r>
              <w:rPr>
                <w:b w:val="0"/>
                <w:color w:val="1C1917"/>
                <w:sz w:val="17"/>
              </w:rPr>
              <w:t>Rechnung bis 31.12.2026 übermittelt</w:t>
            </w:r>
          </w:p>
        </w:tc>
      </w:tr>
      <w:tr>
        <w:trPr>
          <w:cantSplit/>
        </w:trPr>
        <w:tc>
          <w:tcPr>
            <w:tcW w:type="dxa" w:w="1928"/>
          </w:tcPr>
          <w:p>
            <w:r>
              <w:rPr>
                <w:b w:val="0"/>
                <w:color w:val="1C1917"/>
                <w:sz w:val="17"/>
              </w:rPr>
              <w:t>2027</w:t>
            </w:r>
          </w:p>
        </w:tc>
        <w:tc>
          <w:tcPr>
            <w:tcW w:type="dxa" w:w="3515"/>
          </w:tcPr>
          <w:p>
            <w:r>
              <w:rPr>
                <w:b w:val="0"/>
                <w:color w:val="1C1917"/>
                <w:sz w:val="17"/>
              </w:rPr>
              <w:t>auf Papier, mit Zustimmung auch als PDF</w:t>
            </w:r>
          </w:p>
        </w:tc>
        <w:tc>
          <w:tcPr>
            <w:tcW w:type="dxa" w:w="4195"/>
          </w:tcPr>
          <w:p>
            <w:r>
              <w:rPr>
                <w:b w:val="0"/>
                <w:color w:val="1C1917"/>
                <w:sz w:val="17"/>
              </w:rPr>
              <w:t>Gesamtumsatz 2026 höchstens 800 000 Euro, Rechnung bis 31.12.2027 übermittelt</w:t>
            </w:r>
          </w:p>
        </w:tc>
      </w:tr>
      <w:tr>
        <w:trPr>
          <w:cantSplit/>
        </w:trPr>
        <w:tc>
          <w:tcPr>
            <w:tcW w:type="dxa" w:w="1928"/>
          </w:tcPr>
          <w:p>
            <w:r>
              <w:rPr>
                <w:b w:val="0"/>
                <w:color w:val="1C1917"/>
                <w:sz w:val="17"/>
              </w:rPr>
              <w:t>ab 2028</w:t>
            </w:r>
          </w:p>
        </w:tc>
        <w:tc>
          <w:tcPr>
            <w:tcW w:type="dxa" w:w="3515"/>
          </w:tcPr>
          <w:p>
            <w:r>
              <w:rPr>
                <w:b w:val="0"/>
                <w:color w:val="1C1917"/>
                <w:sz w:val="17"/>
              </w:rPr>
              <w:t>E-Rechnung</w:t>
            </w:r>
          </w:p>
        </w:tc>
        <w:tc>
          <w:tcPr>
            <w:tcW w:type="dxa" w:w="4195"/>
          </w:tcPr>
          <w:p>
            <w:r>
              <w:rPr>
                <w:b w:val="0"/>
                <w:color w:val="1C1917"/>
                <w:sz w:val="17"/>
              </w:rPr>
              <w:t>Ausnahmen etwa für Rechnungen bis 250 Euro</w:t>
            </w:r>
          </w:p>
        </w:tc>
      </w:tr>
    </w:tbl>
    <w:p>
      <w:pPr>
        <w:spacing w:before="85"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4" w:type="dxa"/>
          <w:bottom w:w="34" w:type="dxa"/>
          <w:left w:w="56" w:type="dxa"/>
          <w:right w:w="56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Leistungen aus Dezember 2026 an Unternehmen noch im Dezember 2026 abrechnen oder mit der Steuerberatung klären (nach dem Wortlaut deckt die Regel für 2027 nur Leistungen aus 2027).</w:t>
            </w:r>
          </w:p>
        </w:tc>
      </w:tr>
      <w:tr>
        <w:trPr>
          <w:cantSplit/>
        </w:trPr>
        <w:tc>
          <w:tcPr>
            <w:tcW w:type="dxa" w:w="9638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Anzahlungsrechnungen, die vor der eigenen Pflicht geschrieben werden, müssen keine E-Rechnung sein, auch wenn die Leistung später kommt (BMF 15.10.2026, Rn. 2).</w:t>
            </w:r>
          </w:p>
        </w:tc>
      </w:tr>
      <w:tr>
        <w:trPr>
          <w:cantSplit/>
        </w:trPr>
        <w:tc>
          <w:tcPr>
            <w:tcW w:type="dxa" w:w="9638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Vor der eigenen Pflicht ein Rechnungsprogramm wählen, das XRechnung oder ZUGFeRD schreibt (das BMF empfiehlt keine bestimmte Anwendung, BMF-FAQ Frage 7).</w:t>
            </w:r>
          </w:p>
        </w:tc>
      </w:tr>
    </w:tbl>
    <w:p>
      <w:pPr>
        <w:spacing w:before="170" w:after="0"/>
      </w:pPr>
      <w:r>
        <w:rPr>
          <w:b w:val="0"/>
          <w:color w:val="78716C"/>
          <w:sz w:val="16"/>
        </w:rPr>
        <w:t>Quellen: gesetze-im-internet.de: § 14, § 14b, § 19, § 27 UStG; § 33, § 34a UStDV; § 147 AO · bundesfinanzministerium.de: FAQ E-Rechnung (Stand März 2026), BMF-Schreiben 15.10.2025 und 15.10.2026, GoBD 2. Änderung 14.07.2025 · e-rechnung.elster.de. Volle Adressen in den Fußnoten des Artikels.</w:t>
      </w:r>
    </w:p>
    <w:sectPr w:rsidR="00FC693F" w:rsidRPr="0006063C" w:rsidSect="00034616"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D6D3D1"/>
      </w:pBdr>
    </w:pPr>
    <w:r>
      <w:rPr>
        <w:b w:val="0"/>
        <w:color w:val="78716C"/>
        <w:sz w:val="16"/>
      </w:rPr>
      <w:t>Vorlage von sicht.app · sicht.app/ratgeber/e-rechnung-kleinunternehmer/ · ohne Gewähr</w:t>
    </w:r>
    <w:r>
      <w:drawing>
        <wp:anchor distT="0" distB="0" distL="0" distR="0" simplePos="0" relativeHeight="251659264" behindDoc="0" locked="1" layoutInCell="1" allowOverlap="1">
          <wp:simplePos x="0" y="0"/>
          <wp:positionH relativeFrom="margin">
            <wp:align>right</wp:align>
          </wp:positionH>
          <wp:positionV relativeFrom="page">
            <wp:posOffset>10232680</wp:posOffset>
          </wp:positionV>
          <wp:extent cx="401800" cy="151200"/>
          <wp:effectExtent l="0" t="0" r="0" b="0"/>
          <wp:wrapNone/>
          <wp:docPr id="1" name="Picture 1" descr="sicht.app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v3-vorlagen-logo-fus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1800" cy="151200"/>
                  </a:xfrm>
                  <a:prstGeom prst="rect"/>
                </pic:spPr>
              </pic:pic>
            </a:graphicData>
          </a:graphic>
        </wp:anchor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 w:eastAsia="Arial" w:cs="Arial"/>
      <w:color w:val="1C191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E-Rechnung im kleinen Studio – Vorlage</dc:title>
  <dc:subject/>
  <dc:creator>sicht.app</dc:creator>
  <cp:keywords>Vorlage, sicht.app</cp:keywords>
  <dc:description/>
  <cp:lastModifiedBy>sicht.app</cp:lastModifiedBy>
  <cp:revision>1</cp:revision>
  <dcterms:created xsi:type="dcterms:W3CDTF">2013-12-23T23:15:00Z</dcterms:created>
  <dcterms:modified xsi:type="dcterms:W3CDTF">2013-12-23T23:15:00Z</dcterms:modified>
  <cp:category/>
</cp:coreProperties>
</file>